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2551"/>
        <w:gridCol w:w="1843"/>
        <w:gridCol w:w="7171"/>
      </w:tblGrid>
      <w:tr w:rsidR="00A06425" w:rsidRPr="00A06425" w14:paraId="2F02366F" w14:textId="77777777" w:rsidTr="00FD1740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76701D4E" w:rsidR="00A06425" w:rsidRPr="00A06425" w:rsidRDefault="00860FCD" w:rsidP="00891E3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C47EB">
              <w:rPr>
                <w:rFonts w:asciiTheme="minorHAnsi" w:hAnsiTheme="minorHAnsi" w:cstheme="minorHAnsi"/>
                <w:i/>
                <w:sz w:val="22"/>
                <w:szCs w:val="22"/>
              </w:rPr>
              <w:t>Raport końcowy z realizacji projektu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C47EB" w:rsidRPr="001C47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Hereditas. Digitalizacja i udostępnianie zbiorów Muzeum Narodowego w Warszawie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1E161E" w:rsidRPr="001E16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1C47EB">
              <w:rPr>
                <w:rFonts w:asciiTheme="minorHAnsi" w:hAnsiTheme="minorHAnsi" w:cstheme="minorHAnsi"/>
                <w:i/>
                <w:sz w:val="22"/>
                <w:szCs w:val="22"/>
              </w:rPr>
              <w:t>Kultury i Dziedzictwa Narodowego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1C47EB" w:rsidRPr="001C47EB">
              <w:rPr>
                <w:rFonts w:asciiTheme="minorHAnsi" w:hAnsiTheme="minorHAnsi" w:cstheme="minorHAnsi"/>
                <w:i/>
                <w:sz w:val="22"/>
                <w:szCs w:val="22"/>
              </w:rPr>
              <w:t>Muzeum Narodowe w Warszawie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D24307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7171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E161E" w:rsidRPr="00563841" w14:paraId="06518DE7" w14:textId="77777777" w:rsidTr="00D24307">
        <w:tc>
          <w:tcPr>
            <w:tcW w:w="562" w:type="dxa"/>
            <w:shd w:val="clear" w:color="auto" w:fill="auto"/>
          </w:tcPr>
          <w:p w14:paraId="476FEC60" w14:textId="77777777" w:rsidR="001E161E" w:rsidRPr="00563841" w:rsidRDefault="001E161E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BCC0A8C" w14:textId="583B0C9A" w:rsidR="001E161E" w:rsidRPr="00763DE7" w:rsidRDefault="001E161E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BD775F" w14:textId="7983B061" w:rsidR="001E161E" w:rsidRDefault="001C47E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</w:t>
            </w:r>
            <w:r w:rsidRPr="001C47EB">
              <w:rPr>
                <w:rFonts w:ascii="Calibri" w:hAnsi="Calibri" w:cs="Calibri"/>
                <w:color w:val="000000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2551" w:type="dxa"/>
            <w:shd w:val="clear" w:color="auto" w:fill="auto"/>
          </w:tcPr>
          <w:p w14:paraId="78996188" w14:textId="36F60BFF" w:rsidR="001E161E" w:rsidRPr="00511755" w:rsidRDefault="001C47EB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1C47EB">
              <w:rPr>
                <w:rFonts w:ascii="Calibri" w:hAnsi="Calibri" w:cs="Calibri"/>
                <w:sz w:val="22"/>
                <w:szCs w:val="22"/>
              </w:rPr>
              <w:t>skorygowa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1C47EB">
              <w:rPr>
                <w:rFonts w:ascii="Calibri" w:hAnsi="Calibri" w:cs="Calibri"/>
                <w:sz w:val="22"/>
                <w:szCs w:val="22"/>
              </w:rPr>
              <w:t xml:space="preserve"> mało czytelne podsumowani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1C47EB">
              <w:rPr>
                <w:rFonts w:ascii="Calibri" w:hAnsi="Calibri" w:cs="Calibri"/>
                <w:sz w:val="22"/>
                <w:szCs w:val="22"/>
              </w:rPr>
              <w:t xml:space="preserve"> stopnia realizacji niektórych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C47EB">
              <w:rPr>
                <w:rFonts w:ascii="Calibri" w:hAnsi="Calibri" w:cs="Calibri"/>
                <w:sz w:val="22"/>
                <w:szCs w:val="22"/>
              </w:rPr>
              <w:t>wskaźników projektu w stosunku do pierwotnego planu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C092AEC" w14:textId="2552E87E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</w:t>
            </w:r>
            <w:r w:rsidR="001C47EB">
              <w:rPr>
                <w:rFonts w:ascii="Calibri" w:hAnsi="Calibri" w:cs="Calibri"/>
                <w:color w:val="000000"/>
                <w:sz w:val="22"/>
                <w:szCs w:val="22"/>
              </w:rPr>
              <w:t>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2F3F9F6F" w14:textId="77777777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71" w:type="dxa"/>
          </w:tcPr>
          <w:p w14:paraId="41852CA6" w14:textId="77777777" w:rsidR="00D24307" w:rsidRDefault="00D24307" w:rsidP="00D2430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Plan/wykonanie</w:t>
            </w:r>
          </w:p>
          <w:tbl>
            <w:tblPr>
              <w:tblStyle w:val="Tabela-Siatka"/>
              <w:tblW w:w="8019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2268"/>
              <w:gridCol w:w="1134"/>
              <w:gridCol w:w="4166"/>
            </w:tblGrid>
            <w:tr w:rsidR="00D24307" w14:paraId="11ED63CA" w14:textId="77777777" w:rsidTr="00440CF1">
              <w:tc>
                <w:tcPr>
                  <w:tcW w:w="451" w:type="dxa"/>
                </w:tcPr>
                <w:p w14:paraId="2D0EB47F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Lp.</w:t>
                  </w:r>
                </w:p>
              </w:tc>
              <w:tc>
                <w:tcPr>
                  <w:tcW w:w="2268" w:type="dxa"/>
                </w:tcPr>
                <w:p w14:paraId="282F3DF6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1134" w:type="dxa"/>
                </w:tcPr>
                <w:p w14:paraId="3768C755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Plan</w:t>
                  </w:r>
                </w:p>
              </w:tc>
              <w:tc>
                <w:tcPr>
                  <w:tcW w:w="4166" w:type="dxa"/>
                </w:tcPr>
                <w:p w14:paraId="49B3CDDD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Wykonanie</w:t>
                  </w:r>
                </w:p>
              </w:tc>
            </w:tr>
            <w:tr w:rsidR="00D24307" w14:paraId="01E6AA4A" w14:textId="77777777" w:rsidTr="00440CF1">
              <w:tc>
                <w:tcPr>
                  <w:tcW w:w="451" w:type="dxa"/>
                </w:tcPr>
                <w:p w14:paraId="5B1A0151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0FB15E77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1134" w:type="dxa"/>
                </w:tcPr>
                <w:p w14:paraId="2281AD23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63DBCA24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D24307" w14:paraId="135CB904" w14:textId="77777777" w:rsidTr="00440CF1">
              <w:tc>
                <w:tcPr>
                  <w:tcW w:w="451" w:type="dxa"/>
                </w:tcPr>
                <w:p w14:paraId="091F78E2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14:paraId="176D18B9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zdigitalizowanych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4F5A3887" w14:textId="3ED7F0CE" w:rsidR="00D24307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43.820</w:t>
                  </w:r>
                </w:p>
              </w:tc>
              <w:tc>
                <w:tcPr>
                  <w:tcW w:w="4166" w:type="dxa"/>
                </w:tcPr>
                <w:p w14:paraId="53378100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43.984</w:t>
                  </w:r>
                </w:p>
              </w:tc>
            </w:tr>
            <w:tr w:rsidR="00D24307" w14:paraId="712EB255" w14:textId="77777777" w:rsidTr="00440CF1">
              <w:tc>
                <w:tcPr>
                  <w:tcW w:w="451" w:type="dxa"/>
                </w:tcPr>
                <w:p w14:paraId="67328406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14:paraId="17FFD584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4CAEDBAE" w14:textId="7616081F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</w:t>
                  </w:r>
                  <w:r w:rsidR="00A77A53">
                    <w:rPr>
                      <w:rFonts w:cstheme="minorHAnsi"/>
                      <w:i/>
                      <w:sz w:val="18"/>
                      <w:szCs w:val="20"/>
                    </w:rPr>
                    <w:t>3,820</w:t>
                  </w:r>
                </w:p>
              </w:tc>
              <w:tc>
                <w:tcPr>
                  <w:tcW w:w="4166" w:type="dxa"/>
                </w:tcPr>
                <w:p w14:paraId="6B2E7AEC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43.984</w:t>
                  </w:r>
                </w:p>
              </w:tc>
            </w:tr>
            <w:tr w:rsidR="00D24307" w14:paraId="0A9E9AC6" w14:textId="77777777" w:rsidTr="00440CF1">
              <w:tc>
                <w:tcPr>
                  <w:tcW w:w="451" w:type="dxa"/>
                </w:tcPr>
                <w:p w14:paraId="277C57CC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14:paraId="6840FCC2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utworzonych API</w:t>
                  </w:r>
                </w:p>
              </w:tc>
              <w:tc>
                <w:tcPr>
                  <w:tcW w:w="1134" w:type="dxa"/>
                </w:tcPr>
                <w:p w14:paraId="202D7B8A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0BE9278A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D24307" w14:paraId="44A752E4" w14:textId="77777777" w:rsidTr="00440CF1">
              <w:tc>
                <w:tcPr>
                  <w:tcW w:w="451" w:type="dxa"/>
                </w:tcPr>
                <w:p w14:paraId="01A455E8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14:paraId="18804CB2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baz danych udostępnionych on-line poprzez API</w:t>
                  </w:r>
                </w:p>
              </w:tc>
              <w:tc>
                <w:tcPr>
                  <w:tcW w:w="1134" w:type="dxa"/>
                </w:tcPr>
                <w:p w14:paraId="0D0B10F9" w14:textId="641B077F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4166" w:type="dxa"/>
                </w:tcPr>
                <w:p w14:paraId="7C96EA4C" w14:textId="7AD4FEDB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</w:t>
                  </w:r>
                </w:p>
              </w:tc>
            </w:tr>
            <w:tr w:rsidR="00D24307" w14:paraId="7F8E3BBE" w14:textId="77777777" w:rsidTr="00440CF1">
              <w:tc>
                <w:tcPr>
                  <w:tcW w:w="451" w:type="dxa"/>
                </w:tcPr>
                <w:p w14:paraId="6223DF00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2268" w:type="dxa"/>
                </w:tcPr>
                <w:p w14:paraId="152EEB9A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Rozmiar udostępnionych on-line informacji sektora publicznego</w:t>
                  </w:r>
                </w:p>
              </w:tc>
              <w:tc>
                <w:tcPr>
                  <w:tcW w:w="1134" w:type="dxa"/>
                </w:tcPr>
                <w:p w14:paraId="44113C4D" w14:textId="464283A6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0,4</w:t>
                  </w:r>
                  <w:r w:rsidR="002518DA">
                    <w:rPr>
                      <w:rFonts w:cstheme="minorHAnsi"/>
                      <w:i/>
                      <w:sz w:val="18"/>
                      <w:szCs w:val="20"/>
                    </w:rPr>
                    <w:t>9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 xml:space="preserve"> TB</w:t>
                  </w:r>
                </w:p>
              </w:tc>
              <w:tc>
                <w:tcPr>
                  <w:tcW w:w="4166" w:type="dxa"/>
                </w:tcPr>
                <w:p w14:paraId="64432924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0,35 TB</w:t>
                  </w:r>
                </w:p>
              </w:tc>
            </w:tr>
            <w:tr w:rsidR="00D24307" w14:paraId="5A14E5CF" w14:textId="77777777" w:rsidTr="00440CF1">
              <w:tc>
                <w:tcPr>
                  <w:tcW w:w="451" w:type="dxa"/>
                </w:tcPr>
                <w:p w14:paraId="0E96D6EC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4BBFC89E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Rozmiar zdigitalizowanej informacji sektora publicznego</w:t>
                  </w:r>
                </w:p>
              </w:tc>
              <w:tc>
                <w:tcPr>
                  <w:tcW w:w="1134" w:type="dxa"/>
                </w:tcPr>
                <w:p w14:paraId="178027AC" w14:textId="00C150D9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7</w:t>
                  </w:r>
                  <w:r w:rsidR="002518DA">
                    <w:rPr>
                      <w:rFonts w:cstheme="minorHAnsi"/>
                      <w:i/>
                      <w:sz w:val="18"/>
                      <w:szCs w:val="20"/>
                    </w:rPr>
                    <w:t>6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 xml:space="preserve"> TB</w:t>
                  </w:r>
                </w:p>
              </w:tc>
              <w:tc>
                <w:tcPr>
                  <w:tcW w:w="4166" w:type="dxa"/>
                </w:tcPr>
                <w:p w14:paraId="2A7EB5E5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68,06 TB</w:t>
                  </w:r>
                </w:p>
              </w:tc>
            </w:tr>
            <w:tr w:rsidR="00A77A53" w14:paraId="10D82FD7" w14:textId="77777777" w:rsidTr="00440CF1">
              <w:tc>
                <w:tcPr>
                  <w:tcW w:w="451" w:type="dxa"/>
                </w:tcPr>
                <w:p w14:paraId="526C34A5" w14:textId="22D46950" w:rsidR="00A77A53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14:paraId="1C2C7CA7" w14:textId="4C19CB8C" w:rsidR="00A77A53" w:rsidRPr="00EB1A43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Liczba wygenerowanych kluczy API</w:t>
                  </w:r>
                </w:p>
              </w:tc>
              <w:tc>
                <w:tcPr>
                  <w:tcW w:w="1134" w:type="dxa"/>
                </w:tcPr>
                <w:p w14:paraId="71B6DCEB" w14:textId="43A46C7D" w:rsidR="00A77A53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0F4623CD" w14:textId="3D1AEFEF" w:rsidR="00A77A53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D24307" w14:paraId="78E57AF4" w14:textId="77777777" w:rsidTr="00440CF1">
              <w:tc>
                <w:tcPr>
                  <w:tcW w:w="451" w:type="dxa"/>
                </w:tcPr>
                <w:p w14:paraId="6EC12B4F" w14:textId="13474AA2" w:rsidR="00D24307" w:rsidRDefault="00A77A53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9</w:t>
                  </w:r>
                </w:p>
              </w:tc>
              <w:tc>
                <w:tcPr>
                  <w:tcW w:w="2268" w:type="dxa"/>
                </w:tcPr>
                <w:p w14:paraId="03A7723C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pobrań/</w:t>
                  </w:r>
                  <w:proofErr w:type="spellStart"/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odtworzeń</w:t>
                  </w:r>
                  <w:proofErr w:type="spellEnd"/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49D61714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350.000</w:t>
                  </w:r>
                </w:p>
              </w:tc>
              <w:tc>
                <w:tcPr>
                  <w:tcW w:w="4166" w:type="dxa"/>
                </w:tcPr>
                <w:p w14:paraId="35402558" w14:textId="77777777" w:rsidR="00D24307" w:rsidRDefault="00D24307" w:rsidP="00D24307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W trakcie</w:t>
                  </w:r>
                </w:p>
              </w:tc>
            </w:tr>
          </w:tbl>
          <w:p w14:paraId="16AAE89E" w14:textId="77777777" w:rsidR="00D24307" w:rsidRPr="00EB1A43" w:rsidRDefault="00D24307" w:rsidP="00D2430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Uwagi:</w:t>
            </w:r>
          </w:p>
          <w:p w14:paraId="56ABA6BD" w14:textId="77777777" w:rsidR="0006613B" w:rsidRDefault="0006613B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D3E0FD2" w14:textId="34386519" w:rsidR="0006613B" w:rsidRPr="0006613B" w:rsidRDefault="0006613B" w:rsidP="0006613B">
            <w:pPr>
              <w:pStyle w:val="Akapitzlist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2.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zdigitalizowanych dokumentów zawierających informacje sektora publicznego</w:t>
            </w:r>
            <w:r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Zakładany </w:t>
            </w:r>
            <w:r>
              <w:rPr>
                <w:rFonts w:cstheme="minorHAnsi"/>
                <w:i/>
                <w:sz w:val="18"/>
                <w:szCs w:val="18"/>
              </w:rPr>
              <w:t xml:space="preserve">w Aneksie nr 4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 wskaźnik dla całego projektu to 43820</w:t>
            </w:r>
            <w:r>
              <w:rPr>
                <w:rFonts w:cstheme="minorHAnsi"/>
                <w:i/>
                <w:sz w:val="18"/>
                <w:szCs w:val="18"/>
              </w:rPr>
              <w:t xml:space="preserve"> został p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rzekroczony o 164 rekordy - przekroczenie wskaźnika wynika z zasad ewidencji </w:t>
            </w:r>
            <w:r w:rsidRPr="0006613B">
              <w:rPr>
                <w:rFonts w:cstheme="minorHAnsi"/>
                <w:i/>
                <w:sz w:val="18"/>
                <w:szCs w:val="18"/>
              </w:rPr>
              <w:lastRenderedPageBreak/>
              <w:t xml:space="preserve">zbiorów typu muzealnego, gdzie tworzy się ustrukturyzowane rekordy dla obiektów złożonych z wielu elementów oraz zespołów. W toku prac projektowych pracownicy prowadzili </w:t>
            </w:r>
            <w:proofErr w:type="spellStart"/>
            <w:r w:rsidRPr="0006613B">
              <w:rPr>
                <w:rFonts w:cstheme="minorHAnsi"/>
                <w:i/>
                <w:sz w:val="18"/>
                <w:szCs w:val="18"/>
              </w:rPr>
              <w:t>reinwentaryzację</w:t>
            </w:r>
            <w:proofErr w:type="spellEnd"/>
            <w:r w:rsidRPr="0006613B">
              <w:rPr>
                <w:rFonts w:cstheme="minorHAnsi"/>
                <w:i/>
                <w:sz w:val="18"/>
                <w:szCs w:val="18"/>
              </w:rPr>
              <w:t xml:space="preserve"> i rozpisywali rekordy pojedyncze na złożone o ile była do tego podstawa merytoryczna, zgodnie z zasadami ewidencjonowania zbiorów.</w:t>
            </w:r>
          </w:p>
          <w:p w14:paraId="1428372D" w14:textId="2CB7E24F" w:rsidR="0006613B" w:rsidRDefault="0006613B" w:rsidP="0006613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35AAA02F" w14:textId="2337DB67" w:rsidR="00D24307" w:rsidRDefault="00D2430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3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udostępnionych on-line dokumentów zawierających informacje sektora publicznego – plan 40 000/wykonanie 43 984. Łączna liczba wszystkich udostępnionych na platformie Cyfrowe MNW obiektów to 117 302 obiekty cyfrowe, uwzględniając inne projekty w jakich MNW brało udział i pracę własną (dane z dnia 27.02.2024)</w:t>
            </w:r>
          </w:p>
          <w:p w14:paraId="668D2BAE" w14:textId="31B47CA5" w:rsidR="0006613B" w:rsidRDefault="0006613B" w:rsidP="0006613B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18"/>
              </w:rPr>
              <w:t xml:space="preserve"> Przekroczenie o 164 rekordy zakładanego w Aneksie nr 4 wskaźnika wynikało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z zasad ewidencji zbiorów typu muzealnego, gdzie tworzy się ustrukturyzowane rekordy dla obiektów złożonych z wielu elementów oraz zespołów. W toku prac projektowych pracownicy prowadzili </w:t>
            </w:r>
            <w:proofErr w:type="spellStart"/>
            <w:r w:rsidRPr="0006613B">
              <w:rPr>
                <w:rFonts w:cstheme="minorHAnsi"/>
                <w:i/>
                <w:sz w:val="18"/>
                <w:szCs w:val="18"/>
              </w:rPr>
              <w:t>reinwentaryzację</w:t>
            </w:r>
            <w:proofErr w:type="spellEnd"/>
            <w:r w:rsidRPr="0006613B">
              <w:rPr>
                <w:rFonts w:cstheme="minorHAnsi"/>
                <w:i/>
                <w:sz w:val="18"/>
                <w:szCs w:val="18"/>
              </w:rPr>
              <w:t xml:space="preserve"> i rozpisywali rekordy pojedyncze na złożone o ile była do tego podstawa merytoryczna, zgodnie z zasadami ewidencjonowania zbiorów.</w:t>
            </w:r>
          </w:p>
          <w:p w14:paraId="59DCD882" w14:textId="77777777" w:rsidR="0006613B" w:rsidRPr="00EB1A43" w:rsidRDefault="0006613B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DCFFA0C" w14:textId="77777777" w:rsidR="00D24307" w:rsidRPr="00EB1A43" w:rsidRDefault="00D2430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5.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baz danych udostępnionych on-line poprzez API – nie dotyczy – API zostało utworzone w ramach projektu komplementarnego Otwarte Narodowe</w:t>
            </w:r>
          </w:p>
          <w:p w14:paraId="6705BEBA" w14:textId="72DF6B34" w:rsidR="005802B7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061B015" w14:textId="35A0CADB" w:rsidR="005802B7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Ad.6 </w:t>
            </w:r>
            <w:r w:rsidRPr="005802B7">
              <w:rPr>
                <w:rFonts w:cstheme="minorHAnsi"/>
                <w:i/>
                <w:sz w:val="18"/>
                <w:szCs w:val="20"/>
              </w:rPr>
              <w:t>Rozmiar udostępnionych on-line informacji sektora publicznego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5802B7">
              <w:rPr>
                <w:rFonts w:cstheme="minorHAnsi"/>
                <w:i/>
                <w:sz w:val="18"/>
                <w:szCs w:val="20"/>
              </w:rPr>
              <w:t xml:space="preserve"> – plan 0,45 TB/ wykonanie 0,35 TB - Rozmiar udostępnionych on-line ISP, będący rozmiarem tzw. wglądówek w formacie JPG wygenerowanych na potrzeby programu bazodanowego MUZA MNW i Platformy Cyfrowe MNW jest wskaźnikiem o charakterze szacunkowym, obliczanym a priori na etapie przygotowania dokumentów aplikacyjnych projektu. W trakcie realizacji projektu Beneficjent prowadząc prace nad migracją zdjęć i budową Repozytorium Cyfrowego MNW przeprowadził szeroko zakrojone prace nad zdjęciami w formacie TIF w celu nowej konwersji na JPG w wysokiej jakości. Przyjął założenie rozmiaru zdjęcia do 6000px na dłuższym boku przy kompresji 20%, co obecnie wśród muzeów w kraju stanowi najwyższą udostępnianą jakość dokumentacji wizualnej, służącą do przeglądania oraz pobrania i wykorzystania przez użytkowników do własnych celów. Przyjęta wielkość zapewnia również optymalne funkcjonowanie prędkości odtwarzania i pobierania zdjęć Platformy. Wskaźnik został obliczony na podstawie rzeczywistych danych wygenerowanych z bazy danych Systemu MUZA MNW.</w:t>
            </w:r>
          </w:p>
          <w:p w14:paraId="74930F45" w14:textId="3A85BDA2" w:rsidR="005802B7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7C8D4EE" w14:textId="305EAF55" w:rsidR="005802B7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7 </w:t>
            </w:r>
            <w:r w:rsidRPr="005802B7">
              <w:rPr>
                <w:rFonts w:cstheme="minorHAnsi"/>
                <w:i/>
                <w:sz w:val="18"/>
                <w:szCs w:val="20"/>
              </w:rPr>
              <w:t>Rozmiar zdigitalizowanej informacji sektora publicznego – plan 70TB/ wykonanie 68,06 TB -  Rozmiar zdigitalizowanej informacji sektora publicznego ma charakter szacunkowy tj. na etapie przygotowywania dokumentów aplikacyjnych obliczany jest a priori. Różnica pomiędzy szacunkiem i osiągniętym wynikiem, przy digitalizacji całości zasobu wynika z przeszacowania na etapie planowania ostatecznej wielkości plików powstałych w procesie digitalizacji.</w:t>
            </w:r>
          </w:p>
          <w:p w14:paraId="05A3DC35" w14:textId="51594E53" w:rsidR="005802B7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88845F7" w14:textId="6B3B8F84" w:rsidR="005802B7" w:rsidRPr="00EB1A43" w:rsidRDefault="005802B7" w:rsidP="00D24307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</w:t>
            </w:r>
            <w:r w:rsidR="0089738A">
              <w:rPr>
                <w:rFonts w:cstheme="minorHAnsi"/>
                <w:i/>
                <w:sz w:val="18"/>
                <w:szCs w:val="20"/>
              </w:rPr>
              <w:t>9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pobrań/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odtworzeń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dokumentów zawierających informacje sektora publicznego – plan 350 000 do osiągnięcia w ciągu 1 roku od zakończenia realizacji projektu tj. do 31.12.2024</w:t>
            </w:r>
            <w:r>
              <w:rPr>
                <w:rFonts w:cstheme="minorHAnsi"/>
                <w:i/>
                <w:sz w:val="18"/>
                <w:szCs w:val="20"/>
              </w:rPr>
              <w:t>.  Pismem z dnia 28.08.2024 roku MNW wystąpiło do CPPC  z prośbą o wyrażenie zgody na przesunięcie do 30.06.2024 osiągniecia wskaźnika produktu Liczba pobrań/odtworzeni. MNW oczekuje na odpowiedź CPPC</w:t>
            </w:r>
          </w:p>
          <w:p w14:paraId="36D43712" w14:textId="77777777" w:rsidR="001E161E" w:rsidRPr="00563841" w:rsidRDefault="001E161E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875" w:rsidRPr="00563841" w14:paraId="6C479D02" w14:textId="77777777" w:rsidTr="00D24307">
        <w:tc>
          <w:tcPr>
            <w:tcW w:w="562" w:type="dxa"/>
            <w:shd w:val="clear" w:color="auto" w:fill="auto"/>
          </w:tcPr>
          <w:p w14:paraId="54F1954D" w14:textId="77777777" w:rsidR="00FD6875" w:rsidRPr="00563841" w:rsidRDefault="00FD6875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F99EE3" w14:textId="1FD7C799" w:rsidR="00FD6875" w:rsidRPr="00763DE7" w:rsidRDefault="00FD6875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51443A" w14:textId="72A5A7DF" w:rsidR="00FD6875" w:rsidRDefault="001C47EB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10. </w:t>
            </w:r>
            <w:r w:rsidRPr="001C47EB">
              <w:rPr>
                <w:rFonts w:ascii="Calibri" w:hAnsi="Calibri" w:cs="Calibri"/>
                <w:color w:val="000000"/>
                <w:sz w:val="22"/>
                <w:szCs w:val="22"/>
              </w:rPr>
              <w:t>E-usługi i rejestry z jakimi zintegrował się wytworzony system w ramach realizacji projektu</w:t>
            </w:r>
          </w:p>
        </w:tc>
        <w:tc>
          <w:tcPr>
            <w:tcW w:w="2551" w:type="dxa"/>
            <w:shd w:val="clear" w:color="auto" w:fill="auto"/>
          </w:tcPr>
          <w:p w14:paraId="41B35623" w14:textId="2E289CB4" w:rsidR="00FD6875" w:rsidRPr="00511755" w:rsidRDefault="00FD6875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uzupełni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C47EB" w:rsidRPr="001C47EB">
              <w:rPr>
                <w:rFonts w:ascii="Calibri" w:hAnsi="Calibri" w:cs="Calibri"/>
                <w:sz w:val="22"/>
                <w:szCs w:val="22"/>
              </w:rPr>
              <w:t>kwesti</w:t>
            </w:r>
            <w:r w:rsidR="001C47EB">
              <w:rPr>
                <w:rFonts w:ascii="Calibri" w:hAnsi="Calibri" w:cs="Calibri"/>
                <w:sz w:val="22"/>
                <w:szCs w:val="22"/>
              </w:rPr>
              <w:t>e</w:t>
            </w:r>
            <w:r w:rsidR="001C47EB" w:rsidRPr="001C47EB">
              <w:rPr>
                <w:rFonts w:ascii="Calibri" w:hAnsi="Calibri" w:cs="Calibri"/>
                <w:sz w:val="22"/>
                <w:szCs w:val="22"/>
              </w:rPr>
              <w:t xml:space="preserve"> opisane w ostatnim zdaniu nt. uzgodnień międzyinstytucjonalnych - jakich czynności ww. uzgodnienia mają dotyczyć</w:t>
            </w:r>
            <w:r w:rsidR="001C47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17FC5A3A" w14:textId="2D809127" w:rsidR="00FD6875" w:rsidRDefault="00FD6875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</w:t>
            </w:r>
            <w:r w:rsidR="001C47EB">
              <w:rPr>
                <w:rFonts w:ascii="Calibri" w:hAnsi="Calibri" w:cs="Calibri"/>
                <w:color w:val="000000"/>
                <w:sz w:val="22"/>
                <w:szCs w:val="22"/>
              </w:rPr>
              <w:t>raportu.</w:t>
            </w:r>
          </w:p>
        </w:tc>
        <w:tc>
          <w:tcPr>
            <w:tcW w:w="7171" w:type="dxa"/>
          </w:tcPr>
          <w:p w14:paraId="471E30EC" w14:textId="3106EC5D" w:rsidR="00FD6875" w:rsidRPr="00CD6A0C" w:rsidRDefault="00D24307" w:rsidP="00CD6A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 w:rsidRPr="00CD6A0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5802B7" w:rsidRPr="00CD6A0C">
              <w:rPr>
                <w:rFonts w:asciiTheme="minorHAnsi" w:hAnsiTheme="minorHAnsi" w:cstheme="minorHAnsi"/>
                <w:sz w:val="22"/>
                <w:szCs w:val="22"/>
              </w:rPr>
              <w:t xml:space="preserve"> doświadczenia MNW </w:t>
            </w:r>
            <w:r w:rsidRPr="00CD6A0C">
              <w:rPr>
                <w:rFonts w:asciiTheme="minorHAnsi" w:hAnsiTheme="minorHAnsi" w:cstheme="minorHAnsi"/>
                <w:sz w:val="22"/>
                <w:szCs w:val="22"/>
              </w:rPr>
              <w:t xml:space="preserve"> wynika, że większe instytucje publiczne (niekomercyjne) mają opory przed pobieraniem większych ilości danych – nawet jeśli oficjalnie są to dane udostępniane na zasadach domeny publicznej – bez dodatkowych porozumień i zapewnień co do charakteru i statusu prawnego danych.</w:t>
            </w:r>
            <w:bookmarkEnd w:id="0"/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3006E" w14:textId="77777777" w:rsidR="00D25FF5" w:rsidRDefault="00D25FF5" w:rsidP="00886AF0">
      <w:r>
        <w:separator/>
      </w:r>
    </w:p>
  </w:endnote>
  <w:endnote w:type="continuationSeparator" w:id="0">
    <w:p w14:paraId="43082AF1" w14:textId="77777777" w:rsidR="00D25FF5" w:rsidRDefault="00D25FF5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1EA1AC56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608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608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8FF9D" w14:textId="77777777" w:rsidR="00D25FF5" w:rsidRDefault="00D25FF5" w:rsidP="00886AF0">
      <w:r>
        <w:separator/>
      </w:r>
    </w:p>
  </w:footnote>
  <w:footnote w:type="continuationSeparator" w:id="0">
    <w:p w14:paraId="6A72C4B5" w14:textId="77777777" w:rsidR="00D25FF5" w:rsidRDefault="00D25FF5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B1B73"/>
    <w:multiLevelType w:val="hybridMultilevel"/>
    <w:tmpl w:val="678CD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564FE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923F8C"/>
    <w:multiLevelType w:val="hybridMultilevel"/>
    <w:tmpl w:val="6030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8A5D1B"/>
    <w:multiLevelType w:val="hybridMultilevel"/>
    <w:tmpl w:val="4842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75862"/>
    <w:multiLevelType w:val="hybridMultilevel"/>
    <w:tmpl w:val="D57E0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F46EC"/>
    <w:multiLevelType w:val="hybridMultilevel"/>
    <w:tmpl w:val="27B4968C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D0E16"/>
    <w:multiLevelType w:val="hybridMultilevel"/>
    <w:tmpl w:val="33DA8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DD58FE"/>
    <w:multiLevelType w:val="hybridMultilevel"/>
    <w:tmpl w:val="74402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8E3D99"/>
    <w:multiLevelType w:val="hybridMultilevel"/>
    <w:tmpl w:val="AD60D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21"/>
  </w:num>
  <w:num w:numId="5">
    <w:abstractNumId w:val="26"/>
  </w:num>
  <w:num w:numId="6">
    <w:abstractNumId w:val="9"/>
  </w:num>
  <w:num w:numId="7">
    <w:abstractNumId w:val="22"/>
  </w:num>
  <w:num w:numId="8">
    <w:abstractNumId w:val="8"/>
  </w:num>
  <w:num w:numId="9">
    <w:abstractNumId w:val="34"/>
  </w:num>
  <w:num w:numId="10">
    <w:abstractNumId w:val="5"/>
  </w:num>
  <w:num w:numId="11">
    <w:abstractNumId w:val="27"/>
  </w:num>
  <w:num w:numId="12">
    <w:abstractNumId w:val="7"/>
  </w:num>
  <w:num w:numId="13">
    <w:abstractNumId w:val="2"/>
  </w:num>
  <w:num w:numId="14">
    <w:abstractNumId w:val="23"/>
  </w:num>
  <w:num w:numId="15">
    <w:abstractNumId w:val="6"/>
  </w:num>
  <w:num w:numId="16">
    <w:abstractNumId w:val="16"/>
  </w:num>
  <w:num w:numId="17">
    <w:abstractNumId w:val="15"/>
  </w:num>
  <w:num w:numId="18">
    <w:abstractNumId w:val="28"/>
  </w:num>
  <w:num w:numId="19">
    <w:abstractNumId w:val="12"/>
  </w:num>
  <w:num w:numId="20">
    <w:abstractNumId w:val="33"/>
  </w:num>
  <w:num w:numId="21">
    <w:abstractNumId w:val="24"/>
  </w:num>
  <w:num w:numId="22">
    <w:abstractNumId w:val="17"/>
  </w:num>
  <w:num w:numId="23">
    <w:abstractNumId w:val="4"/>
  </w:num>
  <w:num w:numId="24">
    <w:abstractNumId w:val="31"/>
  </w:num>
  <w:num w:numId="25">
    <w:abstractNumId w:val="10"/>
  </w:num>
  <w:num w:numId="26">
    <w:abstractNumId w:val="29"/>
  </w:num>
  <w:num w:numId="27">
    <w:abstractNumId w:val="32"/>
  </w:num>
  <w:num w:numId="28">
    <w:abstractNumId w:val="20"/>
  </w:num>
  <w:num w:numId="29">
    <w:abstractNumId w:val="18"/>
  </w:num>
  <w:num w:numId="30">
    <w:abstractNumId w:val="30"/>
  </w:num>
  <w:num w:numId="31">
    <w:abstractNumId w:val="13"/>
  </w:num>
  <w:num w:numId="32">
    <w:abstractNumId w:val="25"/>
  </w:num>
  <w:num w:numId="33">
    <w:abstractNumId w:val="3"/>
  </w:num>
  <w:num w:numId="34">
    <w:abstractNumId w:val="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2F"/>
    <w:rsid w:val="00010C45"/>
    <w:rsid w:val="000218FD"/>
    <w:rsid w:val="00023DE0"/>
    <w:rsid w:val="00034258"/>
    <w:rsid w:val="0004169A"/>
    <w:rsid w:val="00043071"/>
    <w:rsid w:val="00044893"/>
    <w:rsid w:val="00044EEA"/>
    <w:rsid w:val="00065EE9"/>
    <w:rsid w:val="0006613B"/>
    <w:rsid w:val="00073802"/>
    <w:rsid w:val="000C416B"/>
    <w:rsid w:val="000D44F3"/>
    <w:rsid w:val="000F65FC"/>
    <w:rsid w:val="0010464A"/>
    <w:rsid w:val="00114D45"/>
    <w:rsid w:val="00115B41"/>
    <w:rsid w:val="0012281E"/>
    <w:rsid w:val="00123E33"/>
    <w:rsid w:val="001258A9"/>
    <w:rsid w:val="00137FB2"/>
    <w:rsid w:val="00140BE8"/>
    <w:rsid w:val="001561A5"/>
    <w:rsid w:val="00181A04"/>
    <w:rsid w:val="00194AD6"/>
    <w:rsid w:val="0019648E"/>
    <w:rsid w:val="001A1937"/>
    <w:rsid w:val="001B4B86"/>
    <w:rsid w:val="001C47EB"/>
    <w:rsid w:val="001D4844"/>
    <w:rsid w:val="001D5B0F"/>
    <w:rsid w:val="001E161E"/>
    <w:rsid w:val="001F2B0B"/>
    <w:rsid w:val="002068A1"/>
    <w:rsid w:val="00251201"/>
    <w:rsid w:val="00251841"/>
    <w:rsid w:val="002518DA"/>
    <w:rsid w:val="00257197"/>
    <w:rsid w:val="002715B2"/>
    <w:rsid w:val="002733E7"/>
    <w:rsid w:val="002800E9"/>
    <w:rsid w:val="00283915"/>
    <w:rsid w:val="00284ACD"/>
    <w:rsid w:val="002C63E3"/>
    <w:rsid w:val="002D3EDF"/>
    <w:rsid w:val="002E0F31"/>
    <w:rsid w:val="002F3D25"/>
    <w:rsid w:val="002F409B"/>
    <w:rsid w:val="003051AB"/>
    <w:rsid w:val="003124D1"/>
    <w:rsid w:val="0034093D"/>
    <w:rsid w:val="003600DF"/>
    <w:rsid w:val="00361734"/>
    <w:rsid w:val="00374952"/>
    <w:rsid w:val="00375069"/>
    <w:rsid w:val="00397FE5"/>
    <w:rsid w:val="003B4105"/>
    <w:rsid w:val="003C325D"/>
    <w:rsid w:val="003D5802"/>
    <w:rsid w:val="003E2AC8"/>
    <w:rsid w:val="003E5CAF"/>
    <w:rsid w:val="003E68E5"/>
    <w:rsid w:val="003F000B"/>
    <w:rsid w:val="003F05BA"/>
    <w:rsid w:val="00400385"/>
    <w:rsid w:val="00403237"/>
    <w:rsid w:val="00406804"/>
    <w:rsid w:val="00414D35"/>
    <w:rsid w:val="00423EDA"/>
    <w:rsid w:val="0043061A"/>
    <w:rsid w:val="00431DC0"/>
    <w:rsid w:val="004428F9"/>
    <w:rsid w:val="0046275A"/>
    <w:rsid w:val="00463E37"/>
    <w:rsid w:val="004669F9"/>
    <w:rsid w:val="00477AD9"/>
    <w:rsid w:val="00477F34"/>
    <w:rsid w:val="0048119F"/>
    <w:rsid w:val="00484176"/>
    <w:rsid w:val="004861F2"/>
    <w:rsid w:val="00494A4A"/>
    <w:rsid w:val="004A1820"/>
    <w:rsid w:val="004B29FD"/>
    <w:rsid w:val="004B2E1F"/>
    <w:rsid w:val="004C17C3"/>
    <w:rsid w:val="004C7C73"/>
    <w:rsid w:val="004D086F"/>
    <w:rsid w:val="004E06DE"/>
    <w:rsid w:val="005076B5"/>
    <w:rsid w:val="00511755"/>
    <w:rsid w:val="00526AA8"/>
    <w:rsid w:val="00527798"/>
    <w:rsid w:val="00535FF5"/>
    <w:rsid w:val="00545F4C"/>
    <w:rsid w:val="005461FB"/>
    <w:rsid w:val="00556B17"/>
    <w:rsid w:val="00563841"/>
    <w:rsid w:val="00573295"/>
    <w:rsid w:val="005802B7"/>
    <w:rsid w:val="00595425"/>
    <w:rsid w:val="005A6D58"/>
    <w:rsid w:val="005C4092"/>
    <w:rsid w:val="005D14CE"/>
    <w:rsid w:val="005E4F39"/>
    <w:rsid w:val="005F6527"/>
    <w:rsid w:val="00606470"/>
    <w:rsid w:val="006261B5"/>
    <w:rsid w:val="00640F46"/>
    <w:rsid w:val="006705EC"/>
    <w:rsid w:val="006864DC"/>
    <w:rsid w:val="00690CA1"/>
    <w:rsid w:val="006923EC"/>
    <w:rsid w:val="006C241A"/>
    <w:rsid w:val="006C2A60"/>
    <w:rsid w:val="006E16E9"/>
    <w:rsid w:val="006E4333"/>
    <w:rsid w:val="006E62CF"/>
    <w:rsid w:val="00727BAA"/>
    <w:rsid w:val="007476B7"/>
    <w:rsid w:val="00763DE7"/>
    <w:rsid w:val="00772135"/>
    <w:rsid w:val="0078442E"/>
    <w:rsid w:val="00793824"/>
    <w:rsid w:val="00794A7A"/>
    <w:rsid w:val="00796997"/>
    <w:rsid w:val="007C3BC7"/>
    <w:rsid w:val="007E2EE3"/>
    <w:rsid w:val="007E4AA9"/>
    <w:rsid w:val="007E7047"/>
    <w:rsid w:val="007F2D8D"/>
    <w:rsid w:val="00807385"/>
    <w:rsid w:val="00807E10"/>
    <w:rsid w:val="00816888"/>
    <w:rsid w:val="00831DD7"/>
    <w:rsid w:val="0083280D"/>
    <w:rsid w:val="008363FE"/>
    <w:rsid w:val="00836515"/>
    <w:rsid w:val="00847333"/>
    <w:rsid w:val="00860828"/>
    <w:rsid w:val="00860FCD"/>
    <w:rsid w:val="008771F8"/>
    <w:rsid w:val="00880DF5"/>
    <w:rsid w:val="00882020"/>
    <w:rsid w:val="008838F9"/>
    <w:rsid w:val="00884F24"/>
    <w:rsid w:val="00886AF0"/>
    <w:rsid w:val="00891E39"/>
    <w:rsid w:val="0089738A"/>
    <w:rsid w:val="008A0926"/>
    <w:rsid w:val="008A56EF"/>
    <w:rsid w:val="008B2259"/>
    <w:rsid w:val="008B4EF0"/>
    <w:rsid w:val="008B70A8"/>
    <w:rsid w:val="008E6858"/>
    <w:rsid w:val="00907AF0"/>
    <w:rsid w:val="00923B76"/>
    <w:rsid w:val="00944932"/>
    <w:rsid w:val="009542B8"/>
    <w:rsid w:val="0096010D"/>
    <w:rsid w:val="00960C54"/>
    <w:rsid w:val="00962704"/>
    <w:rsid w:val="009637B5"/>
    <w:rsid w:val="00967305"/>
    <w:rsid w:val="00967B18"/>
    <w:rsid w:val="009702E5"/>
    <w:rsid w:val="00971DBB"/>
    <w:rsid w:val="00983467"/>
    <w:rsid w:val="00983AF0"/>
    <w:rsid w:val="00990416"/>
    <w:rsid w:val="009B630C"/>
    <w:rsid w:val="009D6DE3"/>
    <w:rsid w:val="009E10C0"/>
    <w:rsid w:val="009E136A"/>
    <w:rsid w:val="009E5FDB"/>
    <w:rsid w:val="009F4493"/>
    <w:rsid w:val="00A038B7"/>
    <w:rsid w:val="00A06425"/>
    <w:rsid w:val="00A16759"/>
    <w:rsid w:val="00A2630C"/>
    <w:rsid w:val="00A77A53"/>
    <w:rsid w:val="00A805B4"/>
    <w:rsid w:val="00A95064"/>
    <w:rsid w:val="00A9778D"/>
    <w:rsid w:val="00AC1D3C"/>
    <w:rsid w:val="00AC7796"/>
    <w:rsid w:val="00B019DD"/>
    <w:rsid w:val="00B0751B"/>
    <w:rsid w:val="00B20925"/>
    <w:rsid w:val="00B31095"/>
    <w:rsid w:val="00B350C6"/>
    <w:rsid w:val="00B510C5"/>
    <w:rsid w:val="00B53565"/>
    <w:rsid w:val="00B62766"/>
    <w:rsid w:val="00B649B0"/>
    <w:rsid w:val="00B871B6"/>
    <w:rsid w:val="00B90A00"/>
    <w:rsid w:val="00B916AC"/>
    <w:rsid w:val="00B9614D"/>
    <w:rsid w:val="00BD040A"/>
    <w:rsid w:val="00BD048A"/>
    <w:rsid w:val="00BE1685"/>
    <w:rsid w:val="00BF5B4A"/>
    <w:rsid w:val="00C10049"/>
    <w:rsid w:val="00C16854"/>
    <w:rsid w:val="00C25813"/>
    <w:rsid w:val="00C328A8"/>
    <w:rsid w:val="00C64B1B"/>
    <w:rsid w:val="00C72E9D"/>
    <w:rsid w:val="00C826B0"/>
    <w:rsid w:val="00CC1C6D"/>
    <w:rsid w:val="00CD5EB0"/>
    <w:rsid w:val="00CD6A0C"/>
    <w:rsid w:val="00CE11B7"/>
    <w:rsid w:val="00CE44F8"/>
    <w:rsid w:val="00CF0E83"/>
    <w:rsid w:val="00CF23C4"/>
    <w:rsid w:val="00D148C7"/>
    <w:rsid w:val="00D15B33"/>
    <w:rsid w:val="00D16C9E"/>
    <w:rsid w:val="00D208A4"/>
    <w:rsid w:val="00D22829"/>
    <w:rsid w:val="00D23ABA"/>
    <w:rsid w:val="00D24307"/>
    <w:rsid w:val="00D25FF5"/>
    <w:rsid w:val="00D46BB0"/>
    <w:rsid w:val="00D840C2"/>
    <w:rsid w:val="00D85E42"/>
    <w:rsid w:val="00D86132"/>
    <w:rsid w:val="00D9715B"/>
    <w:rsid w:val="00DC14FB"/>
    <w:rsid w:val="00DC2DF0"/>
    <w:rsid w:val="00DE27DB"/>
    <w:rsid w:val="00E011BE"/>
    <w:rsid w:val="00E02310"/>
    <w:rsid w:val="00E04104"/>
    <w:rsid w:val="00E14C33"/>
    <w:rsid w:val="00E57735"/>
    <w:rsid w:val="00E6732D"/>
    <w:rsid w:val="00E73EC2"/>
    <w:rsid w:val="00E85569"/>
    <w:rsid w:val="00EA37B1"/>
    <w:rsid w:val="00EB37EE"/>
    <w:rsid w:val="00EC5127"/>
    <w:rsid w:val="00ED1A6B"/>
    <w:rsid w:val="00ED23C5"/>
    <w:rsid w:val="00ED2BDC"/>
    <w:rsid w:val="00ED783F"/>
    <w:rsid w:val="00EE3421"/>
    <w:rsid w:val="00EE3796"/>
    <w:rsid w:val="00F02BB1"/>
    <w:rsid w:val="00F203A7"/>
    <w:rsid w:val="00F37FF8"/>
    <w:rsid w:val="00F458C8"/>
    <w:rsid w:val="00F50196"/>
    <w:rsid w:val="00F5095E"/>
    <w:rsid w:val="00F53EE6"/>
    <w:rsid w:val="00F57CE9"/>
    <w:rsid w:val="00F57F63"/>
    <w:rsid w:val="00F57F66"/>
    <w:rsid w:val="00F750E2"/>
    <w:rsid w:val="00F80EEE"/>
    <w:rsid w:val="00F865F5"/>
    <w:rsid w:val="00F93362"/>
    <w:rsid w:val="00FA1CAB"/>
    <w:rsid w:val="00FA57F1"/>
    <w:rsid w:val="00FC474D"/>
    <w:rsid w:val="00FD1740"/>
    <w:rsid w:val="00FD3F46"/>
    <w:rsid w:val="00FD6875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115B41"/>
    <w:rPr>
      <w:color w:val="0563C1" w:themeColor="hyperlink"/>
      <w:u w:val="single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B209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F758-8DCC-497C-867F-20B66250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Mikołaj Machowski</cp:lastModifiedBy>
  <cp:revision>3</cp:revision>
  <dcterms:created xsi:type="dcterms:W3CDTF">2024-10-01T05:38:00Z</dcterms:created>
  <dcterms:modified xsi:type="dcterms:W3CDTF">2024-10-01T05:44:00Z</dcterms:modified>
</cp:coreProperties>
</file>